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94E26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B7D19C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>Новые требования к рекламе тонизирующих и энергетических напитков.</w:t>
      </w:r>
    </w:p>
    <w:p w14:paraId="22F1244B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>Текст</w:t>
      </w:r>
    </w:p>
    <w:p w14:paraId="180A03D3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>Поделиться</w:t>
      </w:r>
    </w:p>
    <w:p w14:paraId="5341806E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 xml:space="preserve">Федеральным законом от 27.10.2025 № 393-ФЗ «О внесении изменений в Федеральный закон «О рекламе» установлен ряд особенностей рекламы безалкогольных тонизирующих напитков, в том числе энергетических. </w:t>
      </w:r>
    </w:p>
    <w:p w14:paraId="12E8E071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F718C9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 xml:space="preserve"> В рекламе запретят:</w:t>
      </w:r>
    </w:p>
    <w:p w14:paraId="447E804E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0D0D66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>- обращаться к несовершеннолетним</w:t>
      </w:r>
    </w:p>
    <w:p w14:paraId="43C7CC75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FB8C81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>- информировать о содержании в составе БАДов или витаминов.</w:t>
      </w:r>
    </w:p>
    <w:p w14:paraId="674A0F32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35E54E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 xml:space="preserve"> В каждом случае реклама должна сопровождаться предупреждением о вреде чрезмерного потребления такой продукции в следующих форматах:</w:t>
      </w:r>
    </w:p>
    <w:p w14:paraId="71AAA9A4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3ADD48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>в радиопрограммах - не менее 3 сек;</w:t>
      </w:r>
    </w:p>
    <w:p w14:paraId="5C47F1CA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13BC08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 xml:space="preserve">в телепрограммах, при кино- и </w:t>
      </w:r>
      <w:proofErr w:type="spellStart"/>
      <w:r w:rsidRPr="00122023">
        <w:rPr>
          <w:rFonts w:ascii="Times New Roman" w:hAnsi="Times New Roman" w:cs="Times New Roman"/>
          <w:sz w:val="28"/>
          <w:szCs w:val="28"/>
        </w:rPr>
        <w:t>видеообслуживании</w:t>
      </w:r>
      <w:proofErr w:type="spellEnd"/>
      <w:r w:rsidRPr="00122023">
        <w:rPr>
          <w:rFonts w:ascii="Times New Roman" w:hAnsi="Times New Roman" w:cs="Times New Roman"/>
          <w:sz w:val="28"/>
          <w:szCs w:val="28"/>
        </w:rPr>
        <w:t xml:space="preserve"> – не меньше 5 сек. и минимум 7 % площади кадра;</w:t>
      </w:r>
    </w:p>
    <w:p w14:paraId="43215D17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FD218E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>другие способы распространения – не менее 7 % рекламного пространства.</w:t>
      </w:r>
    </w:p>
    <w:p w14:paraId="16FD3B80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E05B2B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1646E8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 xml:space="preserve"> Рекламодатели станут отвечать за несоблюдение всех этих правил, а рекламораспространители – только тех, которые касаются упомянутого предупреждения.</w:t>
      </w:r>
    </w:p>
    <w:p w14:paraId="26AAF44C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6ABC10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 xml:space="preserve"> Однако в КоАП РФ отсутствует специальная норма для такого вида деяний.</w:t>
      </w:r>
    </w:p>
    <w:p w14:paraId="24BD6AFC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BE0FBB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 xml:space="preserve"> В настоящее время за нарушения законодательства о рекламе применяются положения ст. 14.3 КоАП РФ, предусматривающие ответственность в виде штрафа:</w:t>
      </w:r>
    </w:p>
    <w:p w14:paraId="436E25AA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A7D574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>Для граждан – от 2 тыс. руб. до 2,5 тыс. руб.</w:t>
      </w:r>
    </w:p>
    <w:p w14:paraId="08B4B629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BCEF7B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>Для должностных лиц – от 4 тыс. до 20 тыс. руб.</w:t>
      </w:r>
    </w:p>
    <w:p w14:paraId="463BF815" w14:textId="7777777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01A151" w14:textId="05A91287" w:rsidR="00122023" w:rsidRPr="00122023" w:rsidRDefault="00122023" w:rsidP="00122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23">
        <w:rPr>
          <w:rFonts w:ascii="Times New Roman" w:hAnsi="Times New Roman" w:cs="Times New Roman"/>
          <w:sz w:val="28"/>
          <w:szCs w:val="28"/>
        </w:rPr>
        <w:t>Для юридических лиц – от 100 тыс. до 500 тыс. руб.</w:t>
      </w:r>
    </w:p>
    <w:sectPr w:rsidR="00122023" w:rsidRPr="00122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023"/>
    <w:rsid w:val="00122023"/>
    <w:rsid w:val="0088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4286"/>
  <w15:chartTrackingRefBased/>
  <w15:docId w15:val="{03867620-AE56-4088-B98E-E8F4B7B33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2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0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220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220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220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20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20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20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20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220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220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22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20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22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220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20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20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220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220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220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2202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Балдина Светлана Владимировна</cp:lastModifiedBy>
  <cp:revision>1</cp:revision>
  <dcterms:created xsi:type="dcterms:W3CDTF">2025-12-15T13:55:00Z</dcterms:created>
  <dcterms:modified xsi:type="dcterms:W3CDTF">2025-12-15T13:56:00Z</dcterms:modified>
</cp:coreProperties>
</file>